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7CF87501" w:rsidR="00781D12" w:rsidRPr="001663F0" w:rsidRDefault="00126F5D"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Pr>
          <w:rFonts w:ascii="Cambria" w:hAnsi="Cambria" w:cs="Times New Roman"/>
          <w:sz w:val="24"/>
        </w:rPr>
        <w:t>Ta</w:t>
      </w:r>
      <w:r w:rsidR="00543F3F"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 xml:space="preserve">Smlouva je uzavírána na základě zadávacího řízení veřejné zakázky s názvem “Dodávky a služby pro zlepšení kyberbezpečnosti </w:t>
      </w:r>
      <w:r w:rsidR="00986113">
        <w:rPr>
          <w:rFonts w:ascii="Cambria" w:hAnsi="Cambria" w:cs="Times New Roman"/>
          <w:sz w:val="24"/>
        </w:rPr>
        <w:t xml:space="preserve">IS </w:t>
      </w:r>
      <w:r w:rsidR="00BA49B8" w:rsidRPr="001663F0">
        <w:rPr>
          <w:rFonts w:ascii="Cambria" w:hAnsi="Cambria" w:cs="Times New Roman"/>
          <w:sz w:val="24"/>
        </w:rPr>
        <w:t xml:space="preserve">v Nemocnici Vyškov“, </w:t>
      </w:r>
      <w:r w:rsidR="00104287" w:rsidRPr="001663F0">
        <w:rPr>
          <w:rFonts w:ascii="Cambria" w:hAnsi="Cambria" w:cs="Times New Roman"/>
          <w:sz w:val="24"/>
        </w:rPr>
        <w:t xml:space="preserve">Část </w:t>
      </w:r>
      <w:r w:rsidR="002B5DDC">
        <w:rPr>
          <w:rFonts w:ascii="Cambria" w:hAnsi="Cambria" w:cs="Times New Roman"/>
          <w:sz w:val="24"/>
        </w:rPr>
        <w:t>1</w:t>
      </w:r>
      <w:r w:rsidR="00BA49B8" w:rsidRPr="001663F0">
        <w:rPr>
          <w:rFonts w:ascii="Cambria" w:hAnsi="Cambria" w:cs="Times New Roman"/>
          <w:sz w:val="24"/>
        </w:rPr>
        <w:t xml:space="preserve"> – </w:t>
      </w:r>
      <w:r w:rsidR="002B18E4">
        <w:rPr>
          <w:rFonts w:ascii="Cambria" w:hAnsi="Cambria" w:cs="Times New Roman"/>
          <w:sz w:val="24"/>
        </w:rPr>
        <w:t>Nástroje pro aplikační, síťovou a fyzickou bezpečnost</w:t>
      </w:r>
      <w:r w:rsidR="00BA49B8" w:rsidRPr="001663F0">
        <w:rPr>
          <w:rFonts w:ascii="Cambria" w:hAnsi="Cambria" w:cs="Times New Roman"/>
          <w:sz w:val="24"/>
        </w:rPr>
        <w:t>,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33663873" w:rsidR="000113E7" w:rsidRPr="001663F0"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2B18E4">
        <w:rPr>
          <w:rFonts w:ascii="Cambria" w:hAnsi="Cambria" w:cs="Times New Roman"/>
          <w:sz w:val="24"/>
        </w:rPr>
        <w:t>1</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9C1AF8">
        <w:rPr>
          <w:rFonts w:ascii="Cambria" w:hAnsi="Cambria" w:cs="Times New Roman"/>
          <w:sz w:val="24"/>
        </w:rPr>
        <w:t>1</w:t>
      </w:r>
      <w:r w:rsidR="005E0AB8" w:rsidRPr="001663F0">
        <w:rPr>
          <w:rFonts w:ascii="Cambria" w:hAnsi="Cambria" w:cs="Times New Roman"/>
          <w:sz w:val="24"/>
        </w:rPr>
        <w:t xml:space="preserve"> 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0A0AB04E"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Poskytovatel se zavazuje, je-li to pro poskytnutí Servisních služeb s ohledem na předmět plnění Hlavní smlouvy nezbytné, pořídit skladové zásoby jednotlivých hardwarových komponent či jiných věcí hmotných tak</w:t>
      </w:r>
      <w:r w:rsidR="008D4BF5">
        <w:rPr>
          <w:rFonts w:ascii="Cambria" w:hAnsi="Cambria" w:cs="Times New Roman"/>
          <w:sz w:val="24"/>
        </w:rPr>
        <w:t>,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74BC33E7"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w:t>
      </w:r>
      <w:r w:rsidR="00252C50">
        <w:rPr>
          <w:rFonts w:ascii="Cambria" w:hAnsi="Cambria" w:cs="Times New Roman"/>
          <w:sz w:val="24"/>
        </w:rPr>
        <w:t>předání</w:t>
      </w:r>
      <w:r w:rsidR="00B72BAD">
        <w:rPr>
          <w:rFonts w:ascii="Cambria" w:hAnsi="Cambria" w:cs="Times New Roman"/>
          <w:sz w:val="24"/>
        </w:rPr>
        <w:t xml:space="preserve"> a převzetí</w:t>
      </w:r>
      <w:r w:rsidR="00C61581" w:rsidRPr="001663F0">
        <w:rPr>
          <w:rFonts w:ascii="Cambria" w:hAnsi="Cambria" w:cs="Times New Roman"/>
          <w:sz w:val="24"/>
        </w:rPr>
        <w:t xml:space="preserve"> předmětu </w:t>
      </w:r>
      <w:r w:rsidR="00252C50">
        <w:rPr>
          <w:rFonts w:ascii="Cambria" w:hAnsi="Cambria" w:cs="Times New Roman"/>
          <w:sz w:val="24"/>
        </w:rPr>
        <w:t>díla</w:t>
      </w:r>
      <w:r w:rsidR="00252C50" w:rsidRPr="001663F0">
        <w:rPr>
          <w:rFonts w:ascii="Cambria" w:hAnsi="Cambria" w:cs="Times New Roman"/>
          <w:sz w:val="24"/>
        </w:rPr>
        <w:t xml:space="preserve"> </w:t>
      </w:r>
      <w:r w:rsidR="00104287" w:rsidRPr="001663F0">
        <w:rPr>
          <w:rFonts w:ascii="Cambria" w:hAnsi="Cambria" w:cs="Times New Roman"/>
          <w:sz w:val="24"/>
        </w:rPr>
        <w:t xml:space="preserve">Části </w:t>
      </w:r>
      <w:r w:rsidR="00911A4F">
        <w:rPr>
          <w:rFonts w:ascii="Cambria" w:hAnsi="Cambria" w:cs="Times New Roman"/>
          <w:sz w:val="24"/>
        </w:rPr>
        <w:t>1</w:t>
      </w:r>
      <w:r w:rsidR="00C61581" w:rsidRPr="001663F0">
        <w:rPr>
          <w:rFonts w:ascii="Cambria" w:hAnsi="Cambria" w:cs="Times New Roman"/>
          <w:sz w:val="24"/>
        </w:rPr>
        <w:t xml:space="preserve"> veřejné zakázky – dodáním Podporovaného produktu a jeho akceptací v souladu s</w:t>
      </w:r>
      <w:r w:rsidR="00E50727">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bookmarkEnd w:id="5"/>
    <w:p w14:paraId="031D732B" w14:textId="77777777" w:rsidR="00E50727" w:rsidRPr="001663F0" w:rsidRDefault="00E50727" w:rsidP="00E50727">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od </w:t>
      </w:r>
      <w:r>
        <w:rPr>
          <w:rFonts w:ascii="Cambria" w:hAnsi="Cambria" w:cstheme="minorBidi"/>
          <w:sz w:val="24"/>
        </w:rPr>
        <w:t>zahájení poskytování Servisních služeb dle</w:t>
      </w:r>
      <w:r w:rsidRPr="001663F0">
        <w:rPr>
          <w:rFonts w:ascii="Cambria" w:hAnsi="Cambria" w:cstheme="minorBidi"/>
          <w:sz w:val="24"/>
        </w:rPr>
        <w:t xml:space="preserve"> této Smlouvy </w:t>
      </w:r>
      <w:r w:rsidRPr="001663F0">
        <w:rPr>
          <w:rFonts w:ascii="Cambria" w:hAnsi="Cambria"/>
          <w:sz w:val="24"/>
        </w:rPr>
        <w:t>po dobu 60 kalendářních měsíců.</w:t>
      </w:r>
    </w:p>
    <w:p w14:paraId="4A0D8D4D" w14:textId="77777777"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1AF013AC"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 xml:space="preserve">v </w:t>
      </w:r>
      <w:r w:rsidR="00242D99">
        <w:rPr>
          <w:rFonts w:ascii="Cambria" w:hAnsi="Cambria"/>
          <w:sz w:val="24"/>
        </w:rPr>
        <w:t>zadávacím</w:t>
      </w:r>
      <w:r w:rsidR="00242D99" w:rsidRPr="001663F0">
        <w:rPr>
          <w:rFonts w:ascii="Cambria" w:hAnsi="Cambria"/>
          <w:sz w:val="24"/>
        </w:rPr>
        <w:t xml:space="preserve"> </w:t>
      </w:r>
      <w:r w:rsidRPr="001663F0">
        <w:rPr>
          <w:rFonts w:ascii="Cambria" w:hAnsi="Cambria"/>
          <w:sz w:val="24"/>
        </w:rPr>
        <w:t xml:space="preserve">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3B6F434B"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Celková odměna bude Poskytovateli hrazena ročně</w:t>
      </w:r>
      <w:r w:rsidR="00F578EB">
        <w:rPr>
          <w:rFonts w:ascii="Cambria" w:hAnsi="Cambria"/>
          <w:sz w:val="24"/>
        </w:rPr>
        <w:t>,</w:t>
      </w:r>
      <w:r w:rsidR="00A50B94">
        <w:rPr>
          <w:rFonts w:ascii="Cambria" w:hAnsi="Cambria"/>
          <w:sz w:val="24"/>
        </w:rPr>
        <w:t xml:space="preserve"> a to ve výši 20</w:t>
      </w:r>
      <w:r w:rsidR="00F578EB">
        <w:rPr>
          <w:rFonts w:ascii="Cambria" w:hAnsi="Cambria"/>
          <w:sz w:val="24"/>
        </w:rPr>
        <w:t xml:space="preserve"> </w:t>
      </w:r>
      <w:r w:rsidR="00A50B94">
        <w:rPr>
          <w:rFonts w:ascii="Cambria" w:hAnsi="Cambria"/>
          <w:sz w:val="24"/>
        </w:rPr>
        <w:t>% z celkové odměny vč. DPH za kalendářní rok, a to prvně k počátku poskytování Servisních služeb a následně vždy k ročnímu výročí počátku poskytování Servisních služeb.</w:t>
      </w:r>
    </w:p>
    <w:p w14:paraId="6DF37D8E" w14:textId="23722007"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w:t>
      </w:r>
      <w:r w:rsidR="006B4C82">
        <w:rPr>
          <w:rFonts w:ascii="Cambria" w:hAnsi="Cambria"/>
          <w:sz w:val="24"/>
        </w:rPr>
        <w:t xml:space="preserve">řádně </w:t>
      </w:r>
      <w:r w:rsidR="001325FE" w:rsidRPr="001663F0">
        <w:rPr>
          <w:rFonts w:ascii="Cambria" w:hAnsi="Cambria"/>
          <w:sz w:val="24"/>
        </w:rPr>
        <w:t xml:space="preserve">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vzniká Objednateli nárok na vrácení poměrn</w:t>
      </w:r>
      <w:r w:rsidR="00F73F9C">
        <w:rPr>
          <w:rFonts w:ascii="Cambria" w:hAnsi="Cambria"/>
          <w:sz w:val="24"/>
        </w:rPr>
        <w:t>é</w:t>
      </w:r>
      <w:r w:rsidR="00C15D8E">
        <w:rPr>
          <w:rFonts w:ascii="Cambria" w:hAnsi="Cambria"/>
          <w:sz w:val="24"/>
        </w:rPr>
        <w:t xml:space="preserve"> části </w:t>
      </w:r>
      <w:r w:rsidR="00954857">
        <w:rPr>
          <w:rFonts w:ascii="Cambria" w:hAnsi="Cambria"/>
          <w:sz w:val="24"/>
        </w:rPr>
        <w:t>již uhrazené odměny, a to vždy s</w:t>
      </w:r>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A: 500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B: 500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Chyba priority C: 1.000</w:t>
      </w:r>
      <w:r w:rsidR="00687B9B" w:rsidRPr="001663F0">
        <w:rPr>
          <w:rFonts w:ascii="Cambria" w:hAnsi="Cambria" w:cs="Times New Roman"/>
          <w:sz w:val="24"/>
          <w:szCs w:val="24"/>
        </w:rPr>
        <w:t>,–</w:t>
      </w:r>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Chyba priority D: 500 Kč</w:t>
      </w:r>
      <w:r w:rsidR="00687B9B" w:rsidRPr="001663F0">
        <w:rPr>
          <w:rFonts w:ascii="Cambria" w:hAnsi="Cambria" w:cs="Times New Roman"/>
          <w:sz w:val="24"/>
          <w:szCs w:val="24"/>
        </w:rPr>
        <w:t>,–</w:t>
      </w:r>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10.000,–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5.000,–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1.000,–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5.000,–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2.000.000,-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Ve Vyškově dne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„doplní Účastník“</w:t>
      </w:r>
      <w:r w:rsidRPr="001663F0">
        <w:rPr>
          <w:rFonts w:ascii="Cambria" w:hAnsi="Cambria"/>
          <w:szCs w:val="22"/>
        </w:rPr>
        <w:t xml:space="preserve"> dne </w:t>
      </w:r>
      <w:r w:rsidRPr="001663F0">
        <w:rPr>
          <w:rFonts w:ascii="Cambria" w:hAnsi="Cambria"/>
          <w:szCs w:val="22"/>
          <w:highlight w:val="yellow"/>
        </w:rPr>
        <w:t>„doplní Účastník“</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Za Objednatele</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Za Zhotovitele</w:t>
      </w:r>
    </w:p>
    <w:p w14:paraId="02106B2E" w14:textId="77777777" w:rsidR="00827A5D" w:rsidRPr="001663F0" w:rsidRDefault="00827A5D" w:rsidP="00827A5D">
      <w:pPr>
        <w:tabs>
          <w:tab w:val="left" w:pos="1701"/>
        </w:tabs>
        <w:spacing w:before="0" w:after="0"/>
        <w:ind w:left="567"/>
        <w:rPr>
          <w:rFonts w:ascii="Cambria" w:hAnsi="Cambria" w:cs="Tahoma"/>
        </w:rPr>
      </w:pPr>
      <w:r w:rsidRPr="001663F0">
        <w:rPr>
          <w:rFonts w:ascii="Cambria" w:hAnsi="Cambria"/>
        </w:rPr>
        <w:t>JUDr. Zdeněk Horák, MBA</w:t>
      </w:r>
      <w:r w:rsidRPr="001663F0">
        <w:rPr>
          <w:rFonts w:ascii="Cambria" w:hAnsi="Cambria" w:cs="Tahoma"/>
        </w:rPr>
        <w:tab/>
      </w:r>
      <w:r w:rsidRPr="001663F0">
        <w:rPr>
          <w:rFonts w:ascii="Cambria" w:hAnsi="Cambria" w:cs="Tahoma"/>
        </w:rPr>
        <w:tab/>
      </w:r>
      <w:r w:rsidRPr="001663F0">
        <w:rPr>
          <w:rFonts w:ascii="Cambria" w:hAnsi="Cambria" w:cs="Tahoma"/>
        </w:rPr>
        <w:tab/>
      </w:r>
      <w:r w:rsidRPr="001663F0">
        <w:rPr>
          <w:rFonts w:ascii="Cambria" w:hAnsi="Cambria" w:cs="Tahoma"/>
        </w:rPr>
        <w:tab/>
      </w:r>
      <w:r w:rsidRPr="001663F0">
        <w:rPr>
          <w:rFonts w:ascii="Cambria" w:hAnsi="Cambria" w:cs="Tahoma"/>
        </w:rPr>
        <w:tab/>
      </w:r>
      <w:r w:rsidRPr="001663F0">
        <w:rPr>
          <w:rFonts w:ascii="Cambria" w:hAnsi="Cambria"/>
          <w:highlight w:val="yellow"/>
        </w:rPr>
        <w:t>„doplní Účastník“</w:t>
      </w:r>
    </w:p>
    <w:p w14:paraId="4AEC832D" w14:textId="5004F6C8" w:rsidR="00827A5D" w:rsidRPr="001663F0" w:rsidRDefault="00827A5D" w:rsidP="00827A5D">
      <w:pPr>
        <w:tabs>
          <w:tab w:val="left" w:pos="1701"/>
        </w:tabs>
        <w:spacing w:before="0" w:after="0"/>
        <w:ind w:left="567"/>
        <w:rPr>
          <w:rFonts w:ascii="Cambria" w:hAnsi="Cambria" w:cs="Tahoma"/>
        </w:rPr>
      </w:pPr>
      <w:r w:rsidRPr="001663F0">
        <w:rPr>
          <w:rFonts w:ascii="Cambria" w:hAnsi="Cambria" w:cs="Times New Roman"/>
        </w:rPr>
        <w:t>ředitel</w:t>
      </w:r>
      <w:r w:rsidRPr="001663F0">
        <w:rPr>
          <w:rFonts w:ascii="Cambria" w:hAnsi="Cambria" w:cs="Times New Roman"/>
        </w:rPr>
        <w:tab/>
      </w:r>
      <w:r w:rsidRPr="001663F0">
        <w:rPr>
          <w:rFonts w:ascii="Cambria" w:hAnsi="Cambria" w:cs="Times New Roman"/>
        </w:rPr>
        <w:tab/>
      </w:r>
      <w:r w:rsidRPr="001663F0">
        <w:rPr>
          <w:rFonts w:ascii="Cambria" w:hAnsi="Cambria" w:cs="Times New Roman"/>
        </w:rPr>
        <w:tab/>
      </w:r>
      <w:r w:rsidRPr="001663F0">
        <w:rPr>
          <w:rFonts w:ascii="Cambria" w:hAnsi="Cambria" w:cs="Tahoma"/>
        </w:rPr>
        <w:tab/>
      </w:r>
      <w:r w:rsidRPr="001663F0">
        <w:rPr>
          <w:rFonts w:ascii="Cambria" w:hAnsi="Cambria" w:cs="Tahoma"/>
        </w:rPr>
        <w:tab/>
      </w:r>
      <w:r w:rsidRPr="001663F0">
        <w:rPr>
          <w:rFonts w:ascii="Cambria" w:hAnsi="Cambria" w:cs="Tahoma"/>
        </w:rPr>
        <w:tab/>
      </w:r>
      <w:r w:rsidRPr="001663F0">
        <w:rPr>
          <w:rFonts w:ascii="Cambria" w:hAnsi="Cambria" w:cs="Tahoma"/>
        </w:rPr>
        <w:tab/>
      </w:r>
      <w:r w:rsidRPr="001663F0">
        <w:rPr>
          <w:rFonts w:ascii="Cambria" w:hAnsi="Cambria"/>
          <w:highlight w:val="yellow"/>
        </w:rPr>
        <w:t>„doplní Účastník“</w:t>
      </w:r>
    </w:p>
    <w:p w14:paraId="5DE8C90B" w14:textId="5FF2408D" w:rsidR="009A51B1" w:rsidRPr="001663F0" w:rsidRDefault="00827A5D" w:rsidP="00827A5D">
      <w:pPr>
        <w:tabs>
          <w:tab w:val="left" w:pos="1701"/>
        </w:tabs>
        <w:spacing w:before="0" w:after="0"/>
        <w:ind w:left="567"/>
        <w:rPr>
          <w:rFonts w:ascii="Cambria" w:hAnsi="Cambria"/>
        </w:rPr>
      </w:pPr>
      <w:r w:rsidRPr="001663F0">
        <w:rPr>
          <w:rFonts w:ascii="Cambria" w:hAnsi="Cambria"/>
        </w:rPr>
        <w:t>Nemocnice Vyškov, příspěvková organizace</w:t>
      </w:r>
      <w:r w:rsidRPr="001663F0">
        <w:rPr>
          <w:rFonts w:ascii="Cambria" w:hAnsi="Cambria" w:cs="Tahoma"/>
        </w:rPr>
        <w:tab/>
      </w:r>
      <w:r w:rsidRPr="001663F0">
        <w:rPr>
          <w:rFonts w:ascii="Cambria" w:hAnsi="Cambria" w:cs="Tahoma"/>
        </w:rPr>
        <w:tab/>
      </w:r>
      <w:r w:rsidRPr="001663F0">
        <w:rPr>
          <w:rFonts w:ascii="Cambria" w:hAnsi="Cambria"/>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7BEC5E5D" w14:textId="251CF166" w:rsidR="00602C35" w:rsidRPr="001663F0" w:rsidRDefault="00602C35">
      <w:pPr>
        <w:spacing w:before="0" w:after="160" w:line="259" w:lineRule="auto"/>
        <w:jc w:val="left"/>
        <w:rPr>
          <w:rFonts w:ascii="Cambria" w:eastAsia="Calibri" w:hAnsi="Cambria" w:cs="Times New Roman"/>
          <w:b/>
          <w:sz w:val="36"/>
          <w:szCs w:val="36"/>
        </w:rPr>
      </w:pPr>
    </w:p>
    <w:p w14:paraId="6E8F1742" w14:textId="333299BC" w:rsidR="009A51B1" w:rsidRPr="001663F0" w:rsidRDefault="009A51B1" w:rsidP="00631A16">
      <w:pPr>
        <w:pStyle w:val="Nadpis1"/>
        <w:jc w:val="center"/>
        <w:rPr>
          <w:b w:val="0"/>
          <w:bCs/>
          <w:sz w:val="24"/>
          <w:szCs w:val="28"/>
        </w:rPr>
      </w:pP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1"/>
      <w:footerReference w:type="even" r:id="rId12"/>
      <w:footerReference w:type="default" r:id="rId13"/>
      <w:headerReference w:type="first" r:id="rId14"/>
      <w:footerReference w:type="first" r:id="rId15"/>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FC914" w14:textId="77777777" w:rsidR="0048091A" w:rsidRPr="00FF010C" w:rsidRDefault="0048091A" w:rsidP="000113E7">
      <w:pPr>
        <w:spacing w:before="0" w:after="0"/>
      </w:pPr>
      <w:r w:rsidRPr="00FF010C">
        <w:separator/>
      </w:r>
    </w:p>
  </w:endnote>
  <w:endnote w:type="continuationSeparator" w:id="0">
    <w:p w14:paraId="69175F58" w14:textId="77777777" w:rsidR="0048091A" w:rsidRPr="00FF010C" w:rsidRDefault="0048091A"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7F0C5F31" w:rsidR="007C71D0" w:rsidRPr="00FF010C" w:rsidRDefault="00986113" w:rsidP="00986113">
        <w:pPr>
          <w:pStyle w:val="Zpat"/>
          <w:jc w:val="right"/>
          <w:rPr>
            <w:rFonts w:asciiTheme="minorHAnsi" w:hAnsiTheme="minorHAnsi"/>
            <w:sz w:val="22"/>
          </w:rPr>
        </w:pPr>
        <w:r w:rsidRPr="001663F0">
          <w:rPr>
            <w:rFonts w:ascii="Cambria" w:hAnsi="Cambria" w:cs="Times New Roman"/>
            <w:sz w:val="24"/>
          </w:rPr>
          <w:t xml:space="preserve">Dodávky a služby pro zlepšení kyberbezpečnosti </w:t>
        </w:r>
        <w:r>
          <w:rPr>
            <w:rFonts w:ascii="Cambria" w:hAnsi="Cambria" w:cs="Times New Roman"/>
            <w:sz w:val="24"/>
          </w:rPr>
          <w:t xml:space="preserve">IS </w:t>
        </w:r>
        <w:r w:rsidRPr="001663F0">
          <w:rPr>
            <w:rFonts w:ascii="Cambria" w:hAnsi="Cambria" w:cs="Times New Roman"/>
            <w:sz w:val="24"/>
          </w:rPr>
          <w:t>v Nemocnici Vyškov</w:t>
        </w:r>
        <w:r>
          <w:rPr>
            <w:rFonts w:ascii="Cambria" w:hAnsi="Cambria" w:cs="Times New Roman"/>
            <w:sz w:val="24"/>
          </w:rPr>
          <w:t xml:space="preserve"> – Část 1</w:t>
        </w:r>
        <w:r>
          <w:rPr>
            <w:rFonts w:ascii="Cambria" w:hAnsi="Cambria" w:cs="Times New Roman"/>
            <w:sz w:val="24"/>
          </w:rPr>
          <w:tab/>
        </w:r>
        <w:r w:rsidRPr="00FF010C">
          <w:rPr>
            <w:rFonts w:asciiTheme="minorHAnsi" w:hAnsiTheme="minorHAnsi"/>
            <w:sz w:val="22"/>
          </w:rPr>
          <w:t xml:space="preserve"> </w:t>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78A817E8" w:rsidR="00E04915" w:rsidRPr="00FF010C" w:rsidRDefault="007D6202" w:rsidP="00E04915">
        <w:pPr>
          <w:pStyle w:val="Zpat"/>
          <w:jc w:val="right"/>
          <w:rPr>
            <w:rFonts w:asciiTheme="minorHAnsi" w:hAnsiTheme="minorHAnsi"/>
            <w:sz w:val="22"/>
          </w:rPr>
        </w:pPr>
        <w:r w:rsidRPr="001663F0">
          <w:rPr>
            <w:rFonts w:ascii="Cambria" w:hAnsi="Cambria" w:cs="Times New Roman"/>
            <w:sz w:val="24"/>
          </w:rPr>
          <w:t xml:space="preserve">Dodávky a služby pro zlepšení kyberbezpečnosti </w:t>
        </w:r>
        <w:r>
          <w:rPr>
            <w:rFonts w:ascii="Cambria" w:hAnsi="Cambria" w:cs="Times New Roman"/>
            <w:sz w:val="24"/>
          </w:rPr>
          <w:t xml:space="preserve">IS </w:t>
        </w:r>
        <w:r w:rsidRPr="001663F0">
          <w:rPr>
            <w:rFonts w:ascii="Cambria" w:hAnsi="Cambria" w:cs="Times New Roman"/>
            <w:sz w:val="24"/>
          </w:rPr>
          <w:t>v Nemocnici Vyškov</w:t>
        </w:r>
        <w:r>
          <w:rPr>
            <w:rFonts w:ascii="Cambria" w:hAnsi="Cambria" w:cs="Times New Roman"/>
            <w:sz w:val="24"/>
          </w:rPr>
          <w:t xml:space="preserve"> – Část 1</w:t>
        </w:r>
        <w:r>
          <w:rPr>
            <w:rFonts w:ascii="Cambria" w:hAnsi="Cambria" w:cs="Times New Roman"/>
            <w:sz w:val="24"/>
          </w:rPr>
          <w:tab/>
        </w:r>
        <w:r w:rsidR="00E04915" w:rsidRPr="00FF010C">
          <w:rPr>
            <w:rFonts w:asciiTheme="minorHAnsi" w:hAnsiTheme="minorHAnsi"/>
            <w:sz w:val="22"/>
          </w:rPr>
          <w:fldChar w:fldCharType="begin"/>
        </w:r>
        <w:r w:rsidR="00E04915" w:rsidRPr="00FF010C">
          <w:rPr>
            <w:rFonts w:asciiTheme="minorHAnsi" w:hAnsiTheme="minorHAnsi"/>
            <w:sz w:val="22"/>
          </w:rPr>
          <w:instrText>PAGE   \* MERGEFORMAT</w:instrText>
        </w:r>
        <w:r w:rsidR="00E04915" w:rsidRPr="00FF010C">
          <w:rPr>
            <w:rFonts w:asciiTheme="minorHAnsi" w:hAnsiTheme="minorHAnsi"/>
            <w:sz w:val="22"/>
          </w:rPr>
          <w:fldChar w:fldCharType="separate"/>
        </w:r>
        <w:r w:rsidR="00E04915" w:rsidRPr="00FF010C">
          <w:rPr>
            <w:rFonts w:asciiTheme="minorHAnsi" w:hAnsiTheme="minorHAnsi"/>
            <w:sz w:val="22"/>
          </w:rPr>
          <w:t>2</w:t>
        </w:r>
        <w:r w:rsidR="00E04915"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89D7C" w14:textId="77777777" w:rsidR="0048091A" w:rsidRPr="00FF010C" w:rsidRDefault="0048091A" w:rsidP="000113E7">
      <w:pPr>
        <w:spacing w:before="0" w:after="0"/>
      </w:pPr>
      <w:r w:rsidRPr="00FF010C">
        <w:separator/>
      </w:r>
    </w:p>
  </w:footnote>
  <w:footnote w:type="continuationSeparator" w:id="0">
    <w:p w14:paraId="2249A991" w14:textId="77777777" w:rsidR="0048091A" w:rsidRPr="00FF010C" w:rsidRDefault="0048091A"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039270E1"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F10C02">
            <w:rPr>
              <w:rFonts w:asciiTheme="minorHAnsi" w:hAnsiTheme="minorHAnsi" w:cstheme="minorHAnsi"/>
              <w:b/>
              <w:bCs/>
              <w:color w:val="808080" w:themeColor="background1" w:themeShade="80"/>
              <w:sz w:val="36"/>
              <w:szCs w:val="36"/>
            </w:rPr>
            <w:t>1aSe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6502"/>
    <w:rsid w:val="000067E4"/>
    <w:rsid w:val="000113E7"/>
    <w:rsid w:val="00013913"/>
    <w:rsid w:val="00014197"/>
    <w:rsid w:val="00021FEF"/>
    <w:rsid w:val="00024A99"/>
    <w:rsid w:val="00025493"/>
    <w:rsid w:val="00027438"/>
    <w:rsid w:val="00047DC1"/>
    <w:rsid w:val="0005407D"/>
    <w:rsid w:val="0005666C"/>
    <w:rsid w:val="000568E6"/>
    <w:rsid w:val="00063A4E"/>
    <w:rsid w:val="00072AE0"/>
    <w:rsid w:val="00075753"/>
    <w:rsid w:val="00076441"/>
    <w:rsid w:val="000A281A"/>
    <w:rsid w:val="000A5E84"/>
    <w:rsid w:val="000C12F0"/>
    <w:rsid w:val="000C47CB"/>
    <w:rsid w:val="000D5D2B"/>
    <w:rsid w:val="00100567"/>
    <w:rsid w:val="001039F1"/>
    <w:rsid w:val="00104287"/>
    <w:rsid w:val="001269B3"/>
    <w:rsid w:val="00126F5D"/>
    <w:rsid w:val="001325FE"/>
    <w:rsid w:val="001509D3"/>
    <w:rsid w:val="001627A5"/>
    <w:rsid w:val="001663F0"/>
    <w:rsid w:val="001764AB"/>
    <w:rsid w:val="00181EF3"/>
    <w:rsid w:val="00191FF1"/>
    <w:rsid w:val="00192781"/>
    <w:rsid w:val="001A4909"/>
    <w:rsid w:val="001A5FA3"/>
    <w:rsid w:val="001C594D"/>
    <w:rsid w:val="001C7857"/>
    <w:rsid w:val="001D02A9"/>
    <w:rsid w:val="001E27F3"/>
    <w:rsid w:val="001E5F83"/>
    <w:rsid w:val="001E6C16"/>
    <w:rsid w:val="0020180A"/>
    <w:rsid w:val="00201D3F"/>
    <w:rsid w:val="0023365F"/>
    <w:rsid w:val="00233B6D"/>
    <w:rsid w:val="00242D99"/>
    <w:rsid w:val="00252C50"/>
    <w:rsid w:val="00275583"/>
    <w:rsid w:val="002A12F9"/>
    <w:rsid w:val="002B11FB"/>
    <w:rsid w:val="002B18E4"/>
    <w:rsid w:val="002B2052"/>
    <w:rsid w:val="002B5DDC"/>
    <w:rsid w:val="002C175A"/>
    <w:rsid w:val="002D690F"/>
    <w:rsid w:val="002E0CE2"/>
    <w:rsid w:val="002E1042"/>
    <w:rsid w:val="002E4D8C"/>
    <w:rsid w:val="002F134B"/>
    <w:rsid w:val="002F4887"/>
    <w:rsid w:val="0031247F"/>
    <w:rsid w:val="00315E54"/>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D192B"/>
    <w:rsid w:val="003D7097"/>
    <w:rsid w:val="003E4E31"/>
    <w:rsid w:val="003E7002"/>
    <w:rsid w:val="003E7EC0"/>
    <w:rsid w:val="003F1317"/>
    <w:rsid w:val="004132C7"/>
    <w:rsid w:val="0042592F"/>
    <w:rsid w:val="00426F77"/>
    <w:rsid w:val="004439A1"/>
    <w:rsid w:val="004477B3"/>
    <w:rsid w:val="00447A0A"/>
    <w:rsid w:val="00460FCD"/>
    <w:rsid w:val="004644F3"/>
    <w:rsid w:val="00465C41"/>
    <w:rsid w:val="0048091A"/>
    <w:rsid w:val="004821C7"/>
    <w:rsid w:val="00486AD8"/>
    <w:rsid w:val="004A2650"/>
    <w:rsid w:val="004A4F06"/>
    <w:rsid w:val="004A6343"/>
    <w:rsid w:val="004B483D"/>
    <w:rsid w:val="004B6E39"/>
    <w:rsid w:val="004D008E"/>
    <w:rsid w:val="004D75FA"/>
    <w:rsid w:val="004E0051"/>
    <w:rsid w:val="004E2796"/>
    <w:rsid w:val="004E5C0E"/>
    <w:rsid w:val="00501874"/>
    <w:rsid w:val="0051097C"/>
    <w:rsid w:val="0052177C"/>
    <w:rsid w:val="00523AEE"/>
    <w:rsid w:val="00523F18"/>
    <w:rsid w:val="00532760"/>
    <w:rsid w:val="0053449D"/>
    <w:rsid w:val="00542121"/>
    <w:rsid w:val="00543F3F"/>
    <w:rsid w:val="005802B7"/>
    <w:rsid w:val="005823D0"/>
    <w:rsid w:val="00585F1A"/>
    <w:rsid w:val="00590203"/>
    <w:rsid w:val="00597BBC"/>
    <w:rsid w:val="005A4859"/>
    <w:rsid w:val="005A6D6E"/>
    <w:rsid w:val="005B594E"/>
    <w:rsid w:val="005B7DA4"/>
    <w:rsid w:val="005D5F25"/>
    <w:rsid w:val="005E0AB8"/>
    <w:rsid w:val="005E496A"/>
    <w:rsid w:val="00602C35"/>
    <w:rsid w:val="00607E4F"/>
    <w:rsid w:val="006106DD"/>
    <w:rsid w:val="00612A5E"/>
    <w:rsid w:val="00625D33"/>
    <w:rsid w:val="00631A16"/>
    <w:rsid w:val="00631E2B"/>
    <w:rsid w:val="00635309"/>
    <w:rsid w:val="00654C45"/>
    <w:rsid w:val="00657336"/>
    <w:rsid w:val="00657E6F"/>
    <w:rsid w:val="0067312D"/>
    <w:rsid w:val="00673F5F"/>
    <w:rsid w:val="0067697F"/>
    <w:rsid w:val="00677771"/>
    <w:rsid w:val="0068406A"/>
    <w:rsid w:val="00686CDE"/>
    <w:rsid w:val="00687B9B"/>
    <w:rsid w:val="006A45BB"/>
    <w:rsid w:val="006B44AA"/>
    <w:rsid w:val="006B4C82"/>
    <w:rsid w:val="006C7E3D"/>
    <w:rsid w:val="006D7468"/>
    <w:rsid w:val="006E577E"/>
    <w:rsid w:val="006E5BF6"/>
    <w:rsid w:val="00710CBC"/>
    <w:rsid w:val="007110E9"/>
    <w:rsid w:val="007135E0"/>
    <w:rsid w:val="00714907"/>
    <w:rsid w:val="007222BE"/>
    <w:rsid w:val="007417A3"/>
    <w:rsid w:val="007431EC"/>
    <w:rsid w:val="00743A4E"/>
    <w:rsid w:val="007514CB"/>
    <w:rsid w:val="00756750"/>
    <w:rsid w:val="00761030"/>
    <w:rsid w:val="007715CB"/>
    <w:rsid w:val="00780FA8"/>
    <w:rsid w:val="00781D12"/>
    <w:rsid w:val="00790B76"/>
    <w:rsid w:val="00793477"/>
    <w:rsid w:val="007979D3"/>
    <w:rsid w:val="007A0734"/>
    <w:rsid w:val="007B1613"/>
    <w:rsid w:val="007B4AB9"/>
    <w:rsid w:val="007B624D"/>
    <w:rsid w:val="007C71D0"/>
    <w:rsid w:val="007D1340"/>
    <w:rsid w:val="007D1969"/>
    <w:rsid w:val="007D371E"/>
    <w:rsid w:val="007D6202"/>
    <w:rsid w:val="007D7AEA"/>
    <w:rsid w:val="007E3F81"/>
    <w:rsid w:val="007F3F2F"/>
    <w:rsid w:val="00817403"/>
    <w:rsid w:val="00825F20"/>
    <w:rsid w:val="00827A5D"/>
    <w:rsid w:val="00843AF3"/>
    <w:rsid w:val="00852B93"/>
    <w:rsid w:val="00853BC0"/>
    <w:rsid w:val="00860774"/>
    <w:rsid w:val="00860DFD"/>
    <w:rsid w:val="008733FE"/>
    <w:rsid w:val="00874353"/>
    <w:rsid w:val="008778DF"/>
    <w:rsid w:val="00884810"/>
    <w:rsid w:val="008A0D2B"/>
    <w:rsid w:val="008A45D4"/>
    <w:rsid w:val="008A748B"/>
    <w:rsid w:val="008A767F"/>
    <w:rsid w:val="008B53CD"/>
    <w:rsid w:val="008C0090"/>
    <w:rsid w:val="008C702F"/>
    <w:rsid w:val="008C71F7"/>
    <w:rsid w:val="008D4BF5"/>
    <w:rsid w:val="008F1A08"/>
    <w:rsid w:val="00901065"/>
    <w:rsid w:val="0090333F"/>
    <w:rsid w:val="00907900"/>
    <w:rsid w:val="0091153B"/>
    <w:rsid w:val="00911A4F"/>
    <w:rsid w:val="00914445"/>
    <w:rsid w:val="00920842"/>
    <w:rsid w:val="009344BA"/>
    <w:rsid w:val="00935052"/>
    <w:rsid w:val="00937C64"/>
    <w:rsid w:val="0095296B"/>
    <w:rsid w:val="00953B24"/>
    <w:rsid w:val="00954857"/>
    <w:rsid w:val="009568F8"/>
    <w:rsid w:val="00957C49"/>
    <w:rsid w:val="00977836"/>
    <w:rsid w:val="009811CD"/>
    <w:rsid w:val="00982F3B"/>
    <w:rsid w:val="00983170"/>
    <w:rsid w:val="0098359C"/>
    <w:rsid w:val="00986113"/>
    <w:rsid w:val="009A2208"/>
    <w:rsid w:val="009A3199"/>
    <w:rsid w:val="009A51B1"/>
    <w:rsid w:val="009A7207"/>
    <w:rsid w:val="009C1AF8"/>
    <w:rsid w:val="009D325C"/>
    <w:rsid w:val="009E5713"/>
    <w:rsid w:val="009E76F7"/>
    <w:rsid w:val="00A03298"/>
    <w:rsid w:val="00A10D9D"/>
    <w:rsid w:val="00A134D9"/>
    <w:rsid w:val="00A33507"/>
    <w:rsid w:val="00A40721"/>
    <w:rsid w:val="00A432F5"/>
    <w:rsid w:val="00A479C0"/>
    <w:rsid w:val="00A50B94"/>
    <w:rsid w:val="00A636D7"/>
    <w:rsid w:val="00A65A8E"/>
    <w:rsid w:val="00A7689D"/>
    <w:rsid w:val="00A91CB6"/>
    <w:rsid w:val="00A96CD6"/>
    <w:rsid w:val="00AA4BE3"/>
    <w:rsid w:val="00AB07EE"/>
    <w:rsid w:val="00AB152E"/>
    <w:rsid w:val="00AB2F5F"/>
    <w:rsid w:val="00AD0E5A"/>
    <w:rsid w:val="00AD2AF8"/>
    <w:rsid w:val="00AE4B14"/>
    <w:rsid w:val="00B02F2F"/>
    <w:rsid w:val="00B21631"/>
    <w:rsid w:val="00B221D9"/>
    <w:rsid w:val="00B22711"/>
    <w:rsid w:val="00B26CB5"/>
    <w:rsid w:val="00B27A6C"/>
    <w:rsid w:val="00B5468B"/>
    <w:rsid w:val="00B67153"/>
    <w:rsid w:val="00B72BAD"/>
    <w:rsid w:val="00B8540B"/>
    <w:rsid w:val="00B912EE"/>
    <w:rsid w:val="00BA49B8"/>
    <w:rsid w:val="00BC15EF"/>
    <w:rsid w:val="00BC6052"/>
    <w:rsid w:val="00BC66FA"/>
    <w:rsid w:val="00BD6ED2"/>
    <w:rsid w:val="00BE2F66"/>
    <w:rsid w:val="00BF1251"/>
    <w:rsid w:val="00BF4915"/>
    <w:rsid w:val="00C00B90"/>
    <w:rsid w:val="00C02A60"/>
    <w:rsid w:val="00C03463"/>
    <w:rsid w:val="00C15D8E"/>
    <w:rsid w:val="00C56937"/>
    <w:rsid w:val="00C61581"/>
    <w:rsid w:val="00C62D7D"/>
    <w:rsid w:val="00C63D23"/>
    <w:rsid w:val="00C865AE"/>
    <w:rsid w:val="00C87AE3"/>
    <w:rsid w:val="00C973C5"/>
    <w:rsid w:val="00CA12A6"/>
    <w:rsid w:val="00CB1C8D"/>
    <w:rsid w:val="00CD407E"/>
    <w:rsid w:val="00CE57E2"/>
    <w:rsid w:val="00CE6056"/>
    <w:rsid w:val="00CE78EF"/>
    <w:rsid w:val="00CF4F60"/>
    <w:rsid w:val="00CF71E2"/>
    <w:rsid w:val="00D02FC7"/>
    <w:rsid w:val="00D14B8B"/>
    <w:rsid w:val="00D20FDF"/>
    <w:rsid w:val="00D33FA9"/>
    <w:rsid w:val="00D4295D"/>
    <w:rsid w:val="00D4582B"/>
    <w:rsid w:val="00D5098E"/>
    <w:rsid w:val="00D573B5"/>
    <w:rsid w:val="00D577AA"/>
    <w:rsid w:val="00D71315"/>
    <w:rsid w:val="00D957B6"/>
    <w:rsid w:val="00DA5B79"/>
    <w:rsid w:val="00DB046A"/>
    <w:rsid w:val="00DB0E33"/>
    <w:rsid w:val="00DC5D2A"/>
    <w:rsid w:val="00DC7090"/>
    <w:rsid w:val="00DF1045"/>
    <w:rsid w:val="00DF200C"/>
    <w:rsid w:val="00DF3AB8"/>
    <w:rsid w:val="00DF5A91"/>
    <w:rsid w:val="00DF7CA2"/>
    <w:rsid w:val="00E04915"/>
    <w:rsid w:val="00E0732E"/>
    <w:rsid w:val="00E10C06"/>
    <w:rsid w:val="00E11BF7"/>
    <w:rsid w:val="00E12405"/>
    <w:rsid w:val="00E25A13"/>
    <w:rsid w:val="00E25F87"/>
    <w:rsid w:val="00E261EB"/>
    <w:rsid w:val="00E26C72"/>
    <w:rsid w:val="00E50727"/>
    <w:rsid w:val="00E50B0C"/>
    <w:rsid w:val="00E50C66"/>
    <w:rsid w:val="00E5294A"/>
    <w:rsid w:val="00E57FFE"/>
    <w:rsid w:val="00E7522C"/>
    <w:rsid w:val="00E76854"/>
    <w:rsid w:val="00E830D1"/>
    <w:rsid w:val="00E93A75"/>
    <w:rsid w:val="00E971CE"/>
    <w:rsid w:val="00EA1FAB"/>
    <w:rsid w:val="00EA5B77"/>
    <w:rsid w:val="00EB1D42"/>
    <w:rsid w:val="00EC1F07"/>
    <w:rsid w:val="00EC590E"/>
    <w:rsid w:val="00ED64F8"/>
    <w:rsid w:val="00ED782B"/>
    <w:rsid w:val="00EF0103"/>
    <w:rsid w:val="00EF5945"/>
    <w:rsid w:val="00F06F5B"/>
    <w:rsid w:val="00F1043C"/>
    <w:rsid w:val="00F10C02"/>
    <w:rsid w:val="00F16239"/>
    <w:rsid w:val="00F2688C"/>
    <w:rsid w:val="00F3182F"/>
    <w:rsid w:val="00F3269A"/>
    <w:rsid w:val="00F368F6"/>
    <w:rsid w:val="00F51BAF"/>
    <w:rsid w:val="00F55144"/>
    <w:rsid w:val="00F578EB"/>
    <w:rsid w:val="00F621A4"/>
    <w:rsid w:val="00F625C0"/>
    <w:rsid w:val="00F67C52"/>
    <w:rsid w:val="00F73F9C"/>
    <w:rsid w:val="00F84D0D"/>
    <w:rsid w:val="00F84FE3"/>
    <w:rsid w:val="00FB558F"/>
    <w:rsid w:val="00FC78A9"/>
    <w:rsid w:val="00FD0544"/>
    <w:rsid w:val="00FD283F"/>
    <w:rsid w:val="00FD6031"/>
    <w:rsid w:val="00FE2D5D"/>
    <w:rsid w:val="00FE5AF3"/>
    <w:rsid w:val="00FE61F4"/>
    <w:rsid w:val="00FF010C"/>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9CB6C3-6E3B-4BB4-AA96-560D419B481B}">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E20A0E08-A0B8-4308-A15C-D039756475E5}">
  <ds:schemaRefs>
    <ds:schemaRef ds:uri="http://schemas.microsoft.com/sharepoint/v3/contenttype/forms"/>
  </ds:schemaRefs>
</ds:datastoreItem>
</file>

<file path=customXml/itemProps3.xml><?xml version="1.0" encoding="utf-8"?>
<ds:datastoreItem xmlns:ds="http://schemas.openxmlformats.org/officeDocument/2006/customXml" ds:itemID="{FCD5F3DE-BE71-4090-890A-99CA9174C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6097</Words>
  <Characters>34756</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17</vt:i4>
      </vt:variant>
    </vt:vector>
  </HeadingPairs>
  <TitlesOfParts>
    <vt:vector size="18"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
      <vt:lpstr>Příloha č. 2 – Seznam poddodavatelů</vt:lpstr>
    </vt:vector>
  </TitlesOfParts>
  <Company/>
  <LinksUpToDate>false</LinksUpToDate>
  <CharactersWithSpaces>40772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2025-06-16T12:37:00Z</dcterms:created>
  <dcterms:modified xsi:type="dcterms:W3CDTF">2025-08-19T13:30:00Z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2025-06-05T09:46:43Z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5e643aae-913a-4d7a-9c08-f4363d67319e</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